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Coverage for sales tax credit</w:t>
      </w:r>
    </w:p>
    <w:p>
      <w:pPr>
        <w:jc w:val="both"/>
        <w:spacing w:before="100" w:after="100"/>
        <w:ind w:start="360"/>
        <w:ind w:firstLine="360"/>
      </w:pPr>
      <w:r>
        <w:rPr/>
      </w:r>
      <w:r>
        <w:rPr/>
      </w:r>
      <w:r>
        <w:t xml:space="preserve">All contracts of motor vehicle casualty insurance delivered or issued for delivery in this State covering motor vehicles registered in this State shall provide coverage for the value of the sales tax credit that would have been available upon trade thereof at the highest book value at the time of loss or destruction of the insured vehicle.</w:t>
      </w:r>
      <w:r>
        <w:t xml:space="preserve">  </w:t>
      </w:r>
      <w:r xmlns:wp="http://schemas.openxmlformats.org/drawingml/2010/wordprocessingDrawing" xmlns:w15="http://schemas.microsoft.com/office/word/2012/wordml">
        <w:rPr>
          <w:rFonts w:ascii="Arial" w:hAnsi="Arial" w:cs="Arial"/>
          <w:sz w:val="22"/>
          <w:szCs w:val="22"/>
        </w:rPr>
        <w:t xml:space="preserve">[PL 1973, c. 219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Coverage for sales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Coverage for sales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§2907. COVERAGE FOR SALES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