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Insurance for dealers and transporters</w:t>
      </w:r>
    </w:p>
    <w:p>
      <w:pPr>
        <w:jc w:val="both"/>
        <w:spacing w:before="100" w:after="0"/>
        <w:ind w:start="360"/>
        <w:ind w:firstLine="360"/>
      </w:pPr>
      <w:r>
        <w:rPr>
          <w:b/>
        </w:rPr>
        <w:t>1</w:t>
        <w:t xml:space="preserve">.  </w:t>
      </w:r>
      <w:r>
        <w:rPr>
          <w:b/>
        </w:rPr>
      </w:r>
      <w:r>
        <w:t xml:space="preserve"> </w:t>
      </w:r>
      <w:r>
        <w:t xml:space="preserve">As used in this section, "owner" means the owner of a motor vehicle, the owner's agent,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w:t>
      </w:r>
    </w:p>
    <w:p>
      <w:pPr>
        <w:jc w:val="both"/>
        <w:spacing w:before="100" w:after="0"/>
        <w:ind w:start="360"/>
        <w:ind w:firstLine="360"/>
      </w:pPr>
      <w:r>
        <w:rPr>
          <w:b/>
        </w:rPr>
        <w:t>2</w:t>
        <w:t xml:space="preserve">.  </w:t>
      </w:r>
      <w:r>
        <w:rPr>
          <w:b/>
        </w:rPr>
      </w:r>
      <w:r>
        <w:t xml:space="preserve"> </w:t>
      </w:r>
      <w:r>
        <w:t xml:space="preserve">The superintendent may not approve any policy required pursuant to </w:t>
      </w:r>
      <w:r>
        <w:t>Title 29‑A, section 1612</w:t>
      </w:r>
      <w:r>
        <w:t xml:space="preserve">, unless coverage is provided for both the owner and operator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w:pPr>
        <w:jc w:val="both"/>
        <w:spacing w:before="100" w:after="0"/>
        <w:ind w:start="360"/>
        <w:ind w:firstLine="360"/>
      </w:pPr>
      <w:r>
        <w:rPr>
          <w:b/>
        </w:rPr>
        <w:t>3</w:t>
        <w:t xml:space="preserve">.  </w:t>
      </w:r>
      <w:r>
        <w:rPr>
          <w:b/>
        </w:rPr>
      </w:r>
      <w:r>
        <w:t xml:space="preserve"> </w:t>
      </w:r>
      <w:r>
        <w:t xml:space="preserve">The owner's policy must provide primary coverage up to the limits specified in </w:t>
      </w:r>
      <w:r>
        <w:t>Title 29‑A, section 1612</w:t>
      </w:r>
      <w:r>
        <w:t xml:space="preserve">.  Any other valid and collectible insurance policy available to an operator who is not the owner must provide excess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 PL 1995, c. 65, §A70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Insurance for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Insurance for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§2909. INSURANCE FOR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