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2939</w:t>
        <w:t xml:space="preserve">.  </w:t>
      </w:r>
      <w:r>
        <w:rPr>
          <w:b/>
        </w:rPr>
        <w:t xml:space="preserve">Cancellation and nonrenewal</w:t>
      </w:r>
    </w:p>
    <w:p>
      <w:pPr>
        <w:jc w:val="both"/>
        <w:spacing w:before="100" w:after="0"/>
        <w:ind w:start="360"/>
        <w:ind w:firstLine="360"/>
      </w:pPr>
      <w:r>
        <w:rPr>
          <w:b/>
        </w:rPr>
        <w:t>1</w:t>
        <w:t xml:space="preserve">.  </w:t>
      </w:r>
      <w:r>
        <w:rPr>
          <w:b/>
        </w:rPr>
      </w:r>
      <w:r>
        <w:t xml:space="preserve"> </w:t>
      </w:r>
      <w:r>
        <w:t xml:space="preserve">Cancellation and nonrenewal shall be subject to the applicable provisions set forth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r>
      <w:r>
        <w:t xml:space="preserve"> </w:t>
      </w:r>
      <w:r>
        <w:t xml:space="preserve">The failure of an employer, association, organization or other group to remit premiums when due for any reason, including, but not limited to, interruption or termination of employment or membership, may not be regarded as nonpayment of premium by any insured under any such plan providing for remittance of premium by such employer, association, organization or other group, unless such insured has been given written notice of such failure to remit and has not paid such premium by the later of 20 days after such notice, or the due date of such premium remittance under the mass marketing plan or pursuant to regulations set forth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§259 (COR).]</w:t>
      </w:r>
    </w:p>
    <w:p>
      <w:pPr>
        <w:jc w:val="both"/>
        <w:spacing w:before="100" w:after="0"/>
        <w:ind w:start="360"/>
        <w:ind w:firstLine="360"/>
      </w:pPr>
      <w:r>
        <w:rPr>
          <w:b/>
        </w:rPr>
        <w:t>3</w:t>
        <w:t xml:space="preserve">.  </w:t>
      </w:r>
      <w:r>
        <w:rPr>
          <w:b/>
        </w:rPr>
      </w:r>
      <w:r>
        <w:t xml:space="preserve"> </w:t>
      </w:r>
      <w:r>
        <w:t xml:space="preserve">Upon the termination of employment or membership or upon the discontinuance of the mass marketing plan, such insured member or employee may maintain the insured member's or employee's policy in force, in the same amount, upon payment of the premium applicable to the class of risk to which the insured member or employee belongs, on an individual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§260 (COR).]</w:t>
      </w:r>
    </w:p>
    <w:p>
      <w:pPr>
        <w:jc w:val="both"/>
        <w:spacing w:before="100" w:after="0"/>
        <w:ind w:start="360"/>
        <w:ind w:firstLine="360"/>
      </w:pPr>
      <w:r>
        <w:rPr>
          <w:b/>
        </w:rPr>
        <w:t>4</w:t>
        <w:t xml:space="preserve">.  </w:t>
      </w:r>
      <w:r>
        <w:rPr>
          <w:b/>
        </w:rPr>
      </w:r>
      <w:r>
        <w:t xml:space="preserve"> </w:t>
      </w:r>
      <w:r>
        <w:t xml:space="preserve">Any notice of cancellation or nonrenewal of any policy of any employee or member insured under a mass marketing plan must be accompanied by a notice to the employee or member that, at the employee's or member's request, the insurer will afford the employer, association, organization or other group a reasonable opportunity to consult with the insured and to present facts in opposition to cancellation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625, §146 (NEW). RR 2021, c. 1, Pt. B, §§259-261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§2939. Cancellation and nonrenewal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§2939. Cancellation and nonrenewal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§2939. CANCELLATION AND NONRENEWAL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