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Lien on insured real estate</w:t>
      </w:r>
    </w:p>
    <w:p>
      <w:pPr>
        <w:jc w:val="both"/>
        <w:spacing w:before="100" w:after="100"/>
        <w:ind w:start="360"/>
        <w:ind w:firstLine="360"/>
      </w:pPr>
      <w:r>
        <w:rPr/>
      </w:r>
      <w:r>
        <w:rPr/>
      </w:r>
      <w:r>
        <w:t xml:space="preserve">Any fire insurer shall have a lien against the insured, on the buildings insured and the land appurtenant thereto, for the amount at any time due on the note referred to in </w:t>
      </w:r>
      <w:r>
        <w:t>section 3020</w:t>
      </w:r>
      <w:r>
        <w:t xml:space="preserve">, to commence from the time of the recording of the same, and to continue 60 days after the expiration of the policy on which such note is given, if the insurer causes a certificate of its claim to such lien, signed by the secretary, to be recorded by the register of deeds for the county or district.  During the pendency of such lien, an attachment of such property, in a civil action on the note in favor of the insurer, has priority of all other attachments or claims.  Execution, when recovered, may be levied on it accordingly.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§3021. Lien on insured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Lien on insured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§3021. LIEN ON INSURED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