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3041</w:t>
        <w:t xml:space="preserve">.  </w:t>
      </w:r>
      <w:r>
        <w:rPr>
          <w:b/>
        </w:rPr>
        <w:t xml:space="preserve">Time limit for adjusting, paying fire loss; penalty</w:t>
      </w:r>
    </w:p>
    <w:p>
      <w:pPr>
        <w:jc w:val="both"/>
        <w:spacing w:before="100" w:after="0"/>
        <w:ind w:start="360"/>
        <w:ind w:firstLine="360"/>
      </w:pPr>
      <w:r>
        <w:rPr>
          <w:b/>
        </w:rPr>
        <w:t>1</w:t>
        <w:t xml:space="preserve">.  </w:t>
      </w:r>
      <w:r>
        <w:rPr>
          <w:b/>
        </w:rPr>
      </w:r>
      <w:r>
        <w:t xml:space="preserve"> </w:t>
      </w:r>
      <w:r>
        <w:t xml:space="preserve">In case of physical loss by fire to property insured by any insurer, the insurer or its representative shall begin adjustment of such loss within 20 days after the receipt of the notice of loss provided for by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In any statute relating to fire insurance or in any policy of fire insurance, reference to the date of loss or the time when a loss occurs shall mean the day of the fire against which the policy insures.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§3041. Time limit for adjusting, paying fire loss;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§3041. Time limit for adjusting, paying fire loss;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§3041. TIME LIMIT FOR ADJUSTING, PAYING FIRE LOSS;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