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Applicability of general corporation statutes</w:t>
      </w:r>
    </w:p>
    <w:p>
      <w:pPr>
        <w:jc w:val="both"/>
        <w:spacing w:before="100" w:after="100"/>
        <w:ind w:start="360"/>
        <w:ind w:firstLine="360"/>
      </w:pPr>
      <w:r>
        <w:rPr/>
      </w:r>
      <w:r>
        <w:rPr/>
      </w:r>
      <w:r>
        <w:t xml:space="preserve">Domestic stock and mutual insurers shall be governed by the applicable provisions of the general statutes of this State relating to private corporations organized for profit, as such statutes are now or hereafter may be constituted, except where such general statutes are in conflict with the express provisions of this Title and the reasonable implications thereof, and in which case the provisions of this Title shall govern.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Applicability of general corporation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Applicability of general corporation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§3304. APPLICABILITY OF GENERAL CORPORATION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