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Emergency bylaws</w:t>
      </w:r>
    </w:p>
    <w:p>
      <w:pPr>
        <w:jc w:val="both"/>
        <w:spacing w:before="100" w:after="0"/>
        <w:ind w:start="360"/>
        <w:ind w:firstLine="360"/>
      </w:pPr>
      <w:r>
        <w:rPr>
          <w:b/>
        </w:rPr>
        <w:t>1</w:t>
        <w:t xml:space="preserve">.  </w:t>
      </w:r>
      <w:r>
        <w:rPr>
          <w:b/>
        </w:rPr>
      </w:r>
      <w:r>
        <w:t xml:space="preserve"> </w:t>
      </w:r>
      <w:r>
        <w:t xml:space="preserve">With the approval of the superintendent, any domestic organization may, at any time, adopt, in the same manner as in the case of ordinary bylaws, emergency bylaws to become operative during a period of acute emergency. Emergency bylaws may contain provisions with respect to the number of directors capable of acting which shall constitute its board, the number of such directors which shall constitute a quorum at a meeting of the board, the number of votes necessary for action by such board, the manner in which vacancies on the board shall be filled, the line of succession of its officers, and the interim management of the affairs of the insurance organization; such provisions, if approved by the superintendent, need not comply with the requirement of the charter of such domestic organization or of the insurance or incorporation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Section 3554</w:t>
      </w:r>
      <w:r>
        <w:t xml:space="preserve"> and </w:t>
      </w:r>
      <w:r>
        <w:t>section 3555, subsections 2</w:t>
      </w:r>
      <w:r>
        <w:t xml:space="preserve"> to </w:t>
      </w:r>
      <w:r>
        <w:t>6</w:t>
      </w:r>
      <w:r>
        <w:t xml:space="preserve"> shall not be applicable during a period of acute emergency to any domestic organization operating in accordance with and under emergency bylaws theretofore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§3553. Emergency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Emergency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§3553. EMERGENCY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