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Reports and information</w:t>
      </w:r>
    </w:p>
    <w:p>
      <w:pPr>
        <w:jc w:val="both"/>
        <w:spacing w:before="100" w:after="0"/>
        <w:ind w:start="360"/>
        <w:ind w:firstLine="360"/>
      </w:pPr>
      <w:r>
        <w:rPr>
          <w:b/>
        </w:rPr>
        <w:t>1</w:t>
        <w:t xml:space="preserve">.  </w:t>
      </w:r>
      <w:r>
        <w:rPr>
          <w:b/>
        </w:rPr>
        <w:t xml:space="preserve">Annual report.</w:t>
        <w:t xml:space="preserve"> </w:t>
      </w:r>
      <w:r>
        <w:t xml:space="preserve"> </w:t>
      </w:r>
      <w:r>
        <w:t xml:space="preserve">In addition to any other reports required by this Title, the board shall submit an annual report to the Governor and the joint standing committee of the Legislature having jurisdiction over insurance matters indicating the business done by the company during the previous year and containing a statement of the resources and liabilities of the fund and any other information considered appropriate by the board.  The report must contain, at a minimum, a summary of the latest annual statement required to be filed with the superintendent prepared in accordance with statutory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§7 (AMD).]</w:t>
      </w:r>
    </w:p>
    <w:p>
      <w:pPr>
        <w:jc w:val="both"/>
        <w:spacing w:before="100" w:after="0"/>
        <w:ind w:start="360"/>
        <w:ind w:firstLine="360"/>
      </w:pPr>
      <w:r>
        <w:rPr>
          <w:b/>
        </w:rPr>
        <w:t>2</w:t>
        <w:t xml:space="preserve">.  </w:t>
      </w:r>
      <w:r>
        <w:rPr>
          <w:b/>
        </w:rPr>
        <w:t xml:space="preserve">Statistical and actuarial data.</w:t>
        <w:t xml:space="preserve"> </w:t>
      </w:r>
      <w:r>
        <w:t xml:space="preserve"> </w:t>
      </w:r>
      <w:r>
        <w:t xml:space="preserve">The company shall compile and maintain statistical and actuarial data related to the determination of proper premium rate levels, the incidence of work-related injuries, costs related to those injuries and any other data that the company considers desirable.  The company shall provide this data to the Superintendent of Insurance, the Executive Director of the Workers' Compensation Board and the Department of Labor annually and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§C7 (AMD). PL 1991, c. 885, §D2 (AMD). PL 2003, c. 608,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§3706. Reports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Reports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§3706. REPORTS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