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Liability and indemnification</w:t>
      </w:r>
    </w:p>
    <w:p>
      <w:pPr>
        <w:jc w:val="both"/>
        <w:spacing w:before="100" w:after="0"/>
        <w:ind w:start="360"/>
        <w:ind w:firstLine="360"/>
      </w:pPr>
      <w:r>
        <w:rPr>
          <w:b/>
        </w:rPr>
        <w:t>1</w:t>
        <w:t xml:space="preserve">.  </w:t>
      </w:r>
      <w:r>
        <w:rPr>
          <w:b/>
        </w:rPr>
        <w:t xml:space="preserve">Liability.</w:t>
        <w:t xml:space="preserve"> </w:t>
      </w:r>
      <w:r>
        <w:t xml:space="preserve"> </w:t>
      </w:r>
      <w:r>
        <w:t xml:space="preserve">The board and its employees may not be held liable for any obligations of the association.  A cause of action may not arise against the association; the board, its agents or its employees; a member insurer or its agents, employees or producers; or the superintendent for any action or omission in the performance of powers and duties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Indemnification.</w:t>
        <w:t xml:space="preserve"> </w:t>
      </w:r>
      <w:r>
        <w:t xml:space="preserve"> </w:t>
      </w:r>
      <w:r>
        <w:t xml:space="preserve">The board may provide in its bylaws or rules for indemnification of, and legal representation for, its members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§3954. Liability and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Liability and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§3954. LIABILITY AND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