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Periodic financial reports of insurer-controlled health maintenance organizations</w:t>
      </w:r>
    </w:p>
    <w:p>
      <w:pPr>
        <w:jc w:val="both"/>
        <w:spacing w:before="100" w:after="100"/>
        <w:ind w:start="360"/>
        <w:ind w:firstLine="360"/>
      </w:pPr>
      <w:r>
        <w:rPr/>
      </w:r>
      <w:r>
        <w:rPr/>
      </w:r>
      <w:r>
        <w:t xml:space="preserve">An authorized insurer that controls and operates a health maintenance organization as a division or line of business shall file on a continuing basis any additional periodic financial reports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1993, c. 702,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§423-B. Periodic financial reports of insurer-controlled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Periodic financial reports of insurer-controlled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§423-B. PERIODIC FINANCIAL REPORTS OF INSURER-CONTROLLED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