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4234-B</w:t>
        <w:t xml:space="preserve">.  </w:t>
      </w:r>
      <w:r>
        <w:rPr>
          <w:b/>
        </w:rPr>
        <w:t xml:space="preserve">Maternity and routine newborn care</w:t>
      </w:r>
    </w:p>
    <w:p>
      <w:pPr>
        <w:jc w:val="both"/>
        <w:spacing w:before="100" w:after="100"/>
        <w:ind w:start="360"/>
        <w:ind w:firstLine="360"/>
      </w:pPr>
      <w:r>
        <w:rPr/>
      </w:r>
      <w:r>
        <w:rPr/>
      </w:r>
      <w:r>
        <w:t xml:space="preserve">Individual and group contracts and certificates issued by a health maintenance organization that provide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§4 (NEW). PL 2001, c. 258, §A4 (AMD). PL 2003, c. 517,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§4234-B.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§4234-B.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