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4241</w:t>
        <w:t xml:space="preserve">.  </w:t>
      </w:r>
      <w:r>
        <w:rPr>
          <w:b/>
        </w:rPr>
        <w:t xml:space="preserve">Gynecological and obstetrical services</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enrollees to select primary care physicians, a health maintenance organization that issues group policies, contracts and certificates must meet the following requirements.</w:t>
      </w:r>
    </w:p>
    <w:p>
      <w:pPr>
        <w:jc w:val="both"/>
        <w:spacing w:before="100" w:after="0"/>
        <w:ind w:start="720"/>
      </w:pPr>
      <w:r>
        <w:rPr/>
        <w:t>A</w:t>
        <w:t xml:space="preserve">.  </w:t>
      </w:r>
      <w:r>
        <w:rPr/>
      </w:r>
      <w:r>
        <w:t xml:space="preserve">The health maintenance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§11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§11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§5 (NEW). PL 1995, c. 617, §6 (AFF). PL 2003, c. 517, §A11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§4241. Gynecological and obstetrical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§4241. Gynecological and obstetrical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§4241. GYNECOLOGICAL AND OBSTETRICAL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