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4251</w:t>
        <w:t xml:space="preserve">.  </w:t>
      </w:r>
      <w:r>
        <w:rPr>
          <w:b/>
        </w:rPr>
        <w:t xml:space="preserve">Coverage for general anesthesia for dentistry</w:t>
      </w:r>
    </w:p>
    <w:p>
      <w:pPr>
        <w:jc w:val="both"/>
        <w:spacing w:before="100" w:after="100"/>
        <w:ind w:start="360"/>
      </w:pPr>
      <w:r>
        <w:rPr>
          <w:b/>
        </w:rPr>
        <w:t>(REALLOCATED FROM TITLE 24-A, SECTION 4249)</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or group contract provided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All individual and group health maintenance organization contracts must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insurer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[RR 2001, c. 1, §37 (RAL).]</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[RR 2001, c. 1, §37 (RAL).]</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[RR 2001, c. 1, §37 (RAL).]</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[RR 2001, c. 1, §37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 health maintenance organization to cover any charges for the dental procedure itself, including, but not limited to, the professional fee of the dentist.  Coverage for anesthesia and associated facility charges pursuant to this section is subject to all other terms and conditions of the individual or group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health maintenance organization providing health coverage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 PL 2003, c. 517, §B30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§4251. Coverage for general anesthesia for dentistry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§4251. Coverage for general anesthesia for dentistry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§4251. COVERAGE FOR GENERAL ANESTHESIA FOR DENTISTRY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