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4317-B</w:t>
        <w:t xml:space="preserve">.  </w:t>
      </w:r>
      <w:r>
        <w:rPr>
          <w:b/>
        </w:rPr>
        <w:t xml:space="preserve">Orally administered cancer therapy</w:t>
      </w:r>
    </w:p>
    <w:p>
      <w:pPr>
        <w:jc w:val="both"/>
        <w:spacing w:before="100" w:after="0"/>
        <w:ind w:start="360"/>
        <w:ind w:firstLine="360"/>
      </w:pPr>
      <w:r>
        <w:rPr>
          <w:b/>
        </w:rPr>
        <w:t>1</w:t>
        <w:t xml:space="preserve">.  </w:t>
      </w:r>
      <w:r>
        <w:rPr>
          <w:b/>
        </w:rPr>
        <w:t xml:space="preserve">Coverage.</w:t>
        <w:t xml:space="preserve"> </w:t>
      </w:r>
      <w:r>
        <w:t xml:space="preserve"> </w:t>
      </w:r>
      <w:r>
        <w:t xml:space="preserve">A carrier that provides coverage for cancer chemotherapy treatment shall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§4317-B. Orally administered cancer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§4317-B. Orally administered cancer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§4317-B. ORALLY ADMINISTERED CANCER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