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4362-A</w:t>
        <w:t xml:space="preserve">.  </w:t>
      </w:r>
      <w:r>
        <w:rPr>
          <w:b/>
        </w:rPr>
        <w:t xml:space="preserve">Dissolution of domestic insurer</w:t>
      </w:r>
    </w:p>
    <w:p>
      <w:pPr>
        <w:jc w:val="both"/>
        <w:spacing w:before="100" w:after="100"/>
        <w:ind w:start="360"/>
        <w:ind w:firstLine="360"/>
      </w:pPr>
      <w:r>
        <w:rPr/>
      </w:r>
      <w:r>
        <w:rPr/>
      </w:r>
      <w:r>
        <w:t xml:space="preserve">The superintendent, upon application for an order of liquidation of a domestic insurer for any of the reasons specified in </w:t>
      </w:r>
      <w:r>
        <w:t>section 4357</w:t>
      </w:r>
      <w:r>
        <w:t xml:space="preserve"> or at any time thereafter, may apply for an order of dissolution of the domestic insurer.  Upon the filing of the application, the court shall issue an order directing the insurer to appear in court on the day fixed in the order and show cause why the application should not be granted.  The order to show cause and notice thereof shall conform to the requirements applicable to an order to show cause set forth in </w:t>
      </w:r>
      <w:r>
        <w:t>section 4360, subsections 2</w:t>
      </w:r>
      <w:r>
        <w:t xml:space="preserve"> and </w:t>
      </w:r>
      <w:r>
        <w:t>3</w:t>
      </w:r>
      <w:r>
        <w:t xml:space="preserve">, and </w:t>
      </w:r>
      <w:r>
        <w:t>section 4361</w:t>
      </w:r>
      <w:r>
        <w:t xml:space="preserve">.  Unless cause is shown why the application should not be granted, the court, after hearing, shall order that the corporate existence of such domestic insurer be dissolved.</w:t>
      </w:r>
      <w:r>
        <w:t xml:space="preserve">  </w:t>
      </w:r>
      <w:r xmlns:wp="http://schemas.openxmlformats.org/drawingml/2010/wordprocessingDrawing" xmlns:w15="http://schemas.microsoft.com/office/word/2012/wordml">
        <w:rPr>
          <w:rFonts w:ascii="Arial" w:hAnsi="Arial" w:cs="Arial"/>
          <w:sz w:val="22"/>
          <w:szCs w:val="22"/>
        </w:rPr>
        <w:t xml:space="preserve">[PL 1983,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§4362-A. Dissolution of domestic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§4362-A. Dissolution of domestic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§4362-A. DISSOLUTION OF DOMESTIC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