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§4380. SUBORDINATION OF CLAIMS FOR NONCOOPERATION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