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4447</w:t>
        <w:t xml:space="preserve">.  </w:t>
      </w:r>
      <w:r>
        <w:rPr>
          <w:b/>
        </w:rPr>
        <w:t xml:space="preserve">Recognition of assessment in rates</w:t>
      </w:r>
    </w:p>
    <w:p>
      <w:pPr>
        <w:jc w:val="both"/>
        <w:spacing w:before="100" w:after="100"/>
        <w:ind w:start="360"/>
        <w:ind w:firstLine="360"/>
      </w:pPr>
      <w:r>
        <w:rPr/>
      </w:r>
      <w:r>
        <w:rPr/>
      </w:r>
      <w:r>
        <w:t xml:space="preserve">The rates and premiums charged for insurance policies to which this subchapter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§4447. Recognition of assessment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§4447. Recognition of assessment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§4447. RECOGNITION OF ASSESSMENT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