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478</w:t>
        <w:t xml:space="preserve">.  </w:t>
      </w:r>
      <w:r>
        <w:rPr>
          <w:b/>
        </w:rPr>
        <w:t xml:space="preserve">Jurisdiction of courts</w:t>
      </w:r>
    </w:p>
    <w:p>
      <w:pPr>
        <w:jc w:val="both"/>
        <w:spacing w:before="100" w:after="100"/>
        <w:ind w:start="360"/>
        <w:ind w:firstLine="360"/>
      </w:pPr>
      <w:r>
        <w:rPr/>
      </w:r>
      <w:r>
        <w:rPr/>
      </w:r>
      <w:r>
        <w:t xml:space="preserve">During any emergency insurance period as described in </w:t>
      </w:r>
      <w:r>
        <w:t>sections 471</w:t>
      </w:r>
      <w:r>
        <w:t xml:space="preserve"> and </w:t>
      </w:r>
      <w:r>
        <w:t>472</w:t>
      </w:r>
      <w:r>
        <w:t xml:space="preserve">, the superintendent is authorized to issue such directions, rules or orders as in the superintendent's discretion the circumstances may warrant, and any Justice of the Supreme Judicial or Superior Courts has full jurisdiction to enforce this chapter by appropriate decrees.</w:t>
      </w:r>
      <w:r>
        <w:t xml:space="preserve">  </w:t>
      </w:r>
      <w:r xmlns:wp="http://schemas.openxmlformats.org/drawingml/2010/wordprocessingDrawing" xmlns:w15="http://schemas.microsoft.com/office/word/2012/wordml">
        <w:rPr>
          <w:rFonts w:ascii="Arial" w:hAnsi="Arial" w:cs="Arial"/>
          <w:sz w:val="22"/>
          <w:szCs w:val="22"/>
        </w:rPr>
        <w:t xml:space="preserve">[RR 2021, c. 1, Pt. B, §185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§185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§478. Jurisdiction of courts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§478. Jurisdiction of courts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§478. JURISDICTION OF COURTS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