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Rulemaking, disclosure standards, compensation</w:t>
      </w:r>
    </w:p>
    <w:p>
      <w:pPr>
        <w:jc w:val="both"/>
        <w:spacing w:before="100" w:after="100"/>
        <w:ind w:start="360"/>
        <w:ind w:firstLine="360"/>
      </w:pPr>
      <w:r>
        <w:rPr/>
      </w:r>
      <w:r>
        <w:rPr/>
      </w:r>
      <w:r>
        <w:t xml:space="preserve">The superintendent may adopt reasonable rules to provide for the full and fair disclosure of information in connection with the sale of long-term care, home health care and nursing home care policies, including, but not limited to, an outline of coverage requirements and requirements relating to the replacement sale of the policies and compensation or commission to an agent or representative for the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w:pPr>
        <w:jc w:val="both"/>
        <w:spacing w:before="100" w:after="100"/>
        <w:ind w:start="360"/>
        <w:ind w:firstLine="360"/>
      </w:pPr>
      <w:r>
        <w:rPr/>
      </w:r>
      <w:r>
        <w:rPr/>
      </w:r>
      <w:r>
        <w:t xml:space="preserve">The superintendent may adopt reasonable rules setting or limiting the rate of compensation or commission to an agent or other representative for the sale of a nursing home care, home health care or long-term care policy or certificate and regarding replacement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1991, c. 200, §C2 (AMD). PL 1997, c. 604, §D5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§5053. Rulemaking, disclosure standards,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Rulemaking, disclosure standards,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§5053. RULEMAKING, DISCLOSURE STANDARDS,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