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5080</w:t>
        <w:t xml:space="preserve">.  </w:t>
      </w:r>
      <w:r>
        <w:rPr>
          <w:b/>
        </w:rPr>
        <w:t xml:space="preserve">Applicability</w:t>
      </w:r>
    </w:p>
    <w:p>
      <w:pPr>
        <w:jc w:val="both"/>
        <w:spacing w:before="100" w:after="100"/>
        <w:ind w:start="360"/>
        <w:ind w:firstLine="360"/>
      </w:pPr>
      <w:r>
        <w:rPr/>
      </w:r>
      <w:r>
        <w:rPr/>
      </w:r>
      <w:r>
        <w:t xml:space="preserve">This chapter applies to long-term care policies and certificates issued or delivered in this State on or after January 1, 2000.  Policies and certificates issued prior to January 1, 2000 and remaining in effect on that date are subject to the requirements of </w:t>
      </w:r>
      <w:r>
        <w:t>chapter 68</w:t>
      </w:r>
      <w:r>
        <w:t xml:space="preserve">.  Those policies and any certificates issued pursuant to those policies prior to January 1, 2000 continue in effect subsequent to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r>
      <w:r>
        <w:rPr/>
      </w:r>
      <w:r>
        <w:t xml:space="preserve">All certificates of coverage issued or delivered to residents of this State after January 1, 2000 must meet the requirements of this chapter and any rules adopted pursuant to this chapter, except that long-term care policies or certificates issued pursuant to a provision included in a policy approved in accordance with </w:t>
      </w:r>
      <w:r>
        <w:t>chapter 68</w:t>
      </w:r>
      <w:r>
        <w:t xml:space="preserve"> giving a policyholder or certificate holder a right to purchase or increase coverage at a later date may be issued with benefits consistent with </w:t>
      </w:r>
      <w:r>
        <w:t>chapter 68</w:t>
      </w:r>
      <w:r>
        <w:t xml:space="preserve"> after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