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w:t>
        <w:t xml:space="preserve">.  </w:t>
      </w:r>
      <w:r>
        <w:rPr>
          <w:b/>
        </w:rPr>
        <w:t xml:space="preserve">Investments</w:t>
      </w:r>
    </w:p>
    <w:p>
      <w:pPr>
        <w:jc w:val="both"/>
        <w:spacing w:before="100" w:after="100"/>
        <w:ind w:start="360"/>
        <w:ind w:firstLine="360"/>
      </w:pPr>
      <w:r>
        <w:rPr/>
      </w:r>
      <w:r>
        <w:rPr/>
      </w:r>
      <w:r>
        <w:t xml:space="preserve">The provider shall conform its investment strategy to the standards adopted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§6219.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§6219.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