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6228</w:t>
        <w:t xml:space="preserve">.  </w:t>
      </w:r>
      <w:r>
        <w:rPr>
          <w:b/>
        </w:rPr>
        <w:t xml:space="preserve">Transfer of residents</w:t>
      </w:r>
    </w:p>
    <w:p>
      <w:pPr>
        <w:jc w:val="both"/>
        <w:spacing w:before="100" w:after="100"/>
        <w:ind w:start="360"/>
        <w:ind w:firstLine="360"/>
      </w:pPr>
      <w:r>
        <w:rPr/>
      </w:r>
      <w:r>
        <w:rPr/>
      </w:r>
      <w:r>
        <w:t xml:space="preserve">A resident of a continuing care retirement community may be transferred to a residential care unit or a bed within the skilled nursing facility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452, §34 (NEW).]</w:t>
      </w:r>
    </w:p>
    <w:p>
      <w:pPr>
        <w:jc w:val="both"/>
        <w:spacing w:before="100" w:after="0"/>
        <w:ind w:start="360"/>
        <w:ind w:firstLine="360"/>
      </w:pPr>
      <w:r>
        <w:rPr>
          <w:b/>
        </w:rPr>
        <w:t>1</w:t>
        <w:t xml:space="preserve">.  </w:t>
      </w:r>
      <w:r>
        <w:rPr>
          <w:b/>
        </w:rPr>
        <w:t xml:space="preserve">Written consent.</w:t>
        <w:t xml:space="preserve"> </w:t>
      </w:r>
      <w:r>
        <w:t xml:space="preserve"> </w:t>
      </w:r>
      <w:r>
        <w:t xml:space="preserve">With the written consent of the resident or the resident's authorized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§34 (NEW).]</w:t>
      </w:r>
    </w:p>
    <w:p>
      <w:pPr>
        <w:jc w:val="both"/>
        <w:spacing w:before="100" w:after="0"/>
        <w:ind w:start="360"/>
        <w:ind w:firstLine="360"/>
      </w:pPr>
      <w:r>
        <w:rPr>
          <w:b/>
        </w:rPr>
        <w:t>2</w:t>
        <w:t xml:space="preserve">.  </w:t>
      </w:r>
      <w:r>
        <w:rPr>
          <w:b/>
        </w:rPr>
        <w:t xml:space="preserve">Health or safety danger.</w:t>
        <w:t xml:space="preserve"> </w:t>
      </w:r>
      <w:r>
        <w:t xml:space="preserve"> </w:t>
      </w:r>
      <w:r>
        <w:t xml:space="preserve">Upon a finding that the resident poses a health or safety danger to other residents or a change in a resident's health status or abilities necessitates a move to a higher level of care.  A decision to transfer or change a resident's accommodations may be made only after extended consultation between the provider's interdisciplinary team, including, but not limited to, medical personnel, social workers and therapists of the community, and the resident, the resident's treating physician and the resident's family or other representative.  The decision may also consider all reasonable care alternatives.  A written decision to transfer or change a resident's accommodations must describe why the resident's health care needs can not be met at the resident's present location.  The resident may appeal this determination to the department pursuant to rules prescribed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§6228. Transfer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§6228. Transfer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§6228. TRANSFER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