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chapter applies to licensed property or casualty insurers, either domiciled in this State or domiciled in a state that is not an accredited state with a substantially similar law in effect.  </w:t>
      </w:r>
      <w:r>
        <w:t>Section 222</w:t>
      </w:r>
      <w:r>
        <w:t xml:space="preserve">, to the extent not modified by this chapter, continues to apply to all parties within holding company systems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