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6815-A</w:t>
        <w:t xml:space="preserve">.  </w:t>
      </w:r>
      <w:r>
        <w:rPr>
          <w:b/>
        </w:rPr>
        <w:t xml:space="preserve">Regulatory requirements under Maine Uniform Securities Act</w:t>
      </w:r>
    </w:p>
    <w:p>
      <w:pPr>
        <w:jc w:val="both"/>
        <w:spacing w:before="100" w:after="100"/>
        <w:ind w:start="360"/>
        <w:ind w:firstLine="360"/>
      </w:pPr>
      <w:r>
        <w:rPr/>
      </w:r>
      <w:r>
        <w:rPr/>
      </w:r>
      <w:r>
        <w:t xml:space="preserve">This chapter does not preempt the regulatory requirements set forth in the Maine Uniform Securities Act, as amended, including but not limited to the regulation of securities transactions in settlement contracts or viatical settlement contracts and the licensing of any person or entity engaged in the sale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§16 (NEW). PL 2005, c. 65, §C15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§6815-A. Regulatory requirements under Maine Uniform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§6815-A. Regulatory requirements under Maine Uniform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§6815-A. REGULATORY REQUIREMENTS UNDER MAINE UNIFORM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