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Maine Health Care Plan</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Plan established; requirements.</w:t>
        <w:t xml:space="preserve"> </w:t>
      </w:r>
      <w:r>
        <w:t xml:space="preserve"> </w:t>
      </w:r>
      <w:r>
        <w:t xml:space="preserve">The Maine Health Care Plan is established to provide for all medically necessary health care services for all residents of the State. The plan must be designed by the Maine Health Care Board under </w:t>
      </w:r>
      <w:r>
        <w:t>section 7503</w:t>
      </w:r>
      <w:r>
        <w:t xml:space="preserve"> in accordance with any requirements of federal law and may not be implemented until the State obtains a waiver for a state-based universal health care plan and receives federal financing to support the implementation of such a plan and until legislation is enacted in accordance with </w:t>
      </w:r>
      <w:r>
        <w:t>section 7503, subsection 4,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§7502. Maine Health Care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Maine Health Care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§7502. MAINE HEALTH CARE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