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INSIDER TRADING OF EQUITY SECURITIES</w:t>
      </w:r>
    </w:p>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 INSIDER TRADING OF EQUITY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INSIDER TRADING OF EQUITY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26. INSIDER TRADING OF EQUITY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