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Lien continues on deceased's property; policy descends to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§1459. Lien continues on deceased's property; policy descends to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Lien continues on deceased's property; policy descends to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§1459. LIEN CONTINUES ON DECEASED'S PROPERTY; POLICY DESCENDS TO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