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§2302-C. Penalty for noncompliance with utilization review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§2302-C. PENALTY FOR NONCOMPLIANCE WITH UTILIZATION REVIEW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