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§2305-A. CONDITIONS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