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§2317. Other provisions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Other provisions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§2317. OTHER PROVISIONS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