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Cub Care programs.</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"Cub Care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Cub Care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Cub Care program has paid for covered items or services, the nonprofit service organization shall make payment to the Medicaid program or the Cub Care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777, Pt. B, §1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Cub Care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1997, c. 777,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§38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§2332-A. Coordination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§2332-A. Coordination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§2332-A. COORDINATION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