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§2349-A. Medical child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§2349-A. Medical child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§2349-A. MEDICAL CHILD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