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2603</w:t>
        <w:t xml:space="preserve">.  </w:t>
      </w:r>
      <w:r>
        <w:rPr>
          <w:b/>
        </w:rPr>
        <w:t xml:space="preserve">Place and form of reports</w:t>
      </w:r>
    </w:p>
    <w:p>
      <w:pPr>
        <w:jc w:val="both"/>
        <w:spacing w:before="100" w:after="100"/>
        <w:ind w:start="360"/>
        <w:ind w:firstLine="360"/>
      </w:pPr>
      <w:r>
        <w:rPr/>
      </w:r>
      <w:r>
        <w:rPr/>
      </w:r>
      <w:r>
        <w:t xml:space="preserve">Claims reports and reports of disposition required by this subchapter shall be made to the Superintendent of Insurance, who shall prescribe the form and content of the reports. The superintendent shall determine the frequency of claims reports, provided the period covered by the reports shall not be less than one month nor more than one year. Reports of disposition shall be made within 60 days of the judgment, award, settlement or other disposition of the claim as provided under </w:t>
      </w:r>
      <w:r>
        <w:t>section 2602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§2603. Place and form of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§2603. Place and form of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§2603. PLACE AND FORM OF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