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B. Informed consent for pelvic, rectal or prostat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B. Informed consent for pelvic, rectal or prostat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B. INFORMED CONSENT FOR PELVIC, RECTAL OR PROSTAT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