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COURTS-MARTIAL</w:t>
      </w:r>
    </w:p>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137.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137.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