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w:t>
      </w:r>
    </w:p>
    <w:p>
      <w:pPr>
        <w:jc w:val="center"/>
        <w:ind w:start="360"/>
        <w:spacing w:before="300" w:after="300"/>
      </w:pPr>
      <w:r>
        <w:rPr>
          <w:b/>
        </w:rPr>
        <w:t xml:space="preserve">PERMITS TO CARRY CONCEALED HANDGUNS</w:t>
      </w:r>
    </w:p>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§53 (COR). </w:t>
      </w:r>
    </w:p>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jc w:val="both"/>
        <w:spacing w:before="100" w:after="100"/>
        <w:ind w:start="1080" w:hanging="720"/>
      </w:pPr>
      <w:r>
        <w:rPr>
          <w:b/>
        </w:rPr>
        <w:t>§</w:t>
        <w:t>2002-B</w:t>
        <w:t xml:space="preserve">.  </w:t>
      </w:r>
      <w:r>
        <w:rPr>
          <w:b/>
        </w:rPr>
        <w:t xml:space="preserve">Assignment of authority; chief of police of adjacent municipality or county sheriff</w:t>
      </w:r>
    </w:p>
    <w:p>
      <w:pPr>
        <w:jc w:val="both"/>
        <w:spacing w:before="100" w:after="100"/>
        <w:ind w:start="360"/>
        <w:ind w:firstLine="360"/>
      </w:pPr>
      <w:r>
        <w:rPr/>
      </w:r>
      <w:r>
        <w:rPr/>
      </w:r>
      <w:r>
        <w:t xml:space="preserve">The municipal officers of a municipality may designate the chief of police of an adjacent municipality or the sheriff of the county in which the municipality is located as the issuing authority for that municipality if the chief or sheriff agrees to the designation. The designation must be made by written agreement with the chief or sheriff. The agreement must include provisions for termination of the agreement. During the term of an agreement, the chief or sheriff shall perform all the functions of the issuing authority, including suspension and revocation of permits. The chief or sheriff is entitled to receive any fees authorized for performing the functions of an issuing authority. The chief or sheriff continues to serve as the issuing authority until the chief or sheriff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2021, c. 619,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§3 (NEW). </w:t>
      </w:r>
    </w:p>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4?</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jc w:val="both"/>
        <w:spacing w:before="100" w:after="100"/>
        <w:ind w:start="1080" w:hanging="720"/>
      </w:pPr>
      <w:r>
        <w:rPr>
          <w:b/>
        </w:rPr>
        <w:t>§</w:t>
        <w:t>2006</w:t>
        <w:t xml:space="preserve">.  </w:t>
      </w:r>
      <w:r>
        <w:rPr>
          <w:b/>
        </w:rPr>
        <w:t xml:space="preserve">Access to information and proceedings</w:t>
      </w:r>
    </w:p>
    <w:p>
      <w:pPr>
        <w:jc w:val="both"/>
        <w:spacing w:before="100" w:after="0"/>
        <w:ind w:start="360"/>
        <w:ind w:firstLine="360"/>
      </w:pPr>
      <w:r>
        <w:rPr>
          <w:b/>
        </w:rPr>
        <w:t>1</w:t>
        <w:t xml:space="preserve">.  </w:t>
      </w:r>
      <w:r>
        <w:rPr>
          <w:b/>
        </w:rPr>
        <w:t xml:space="preserve">Application, refusals and collected information; proceedings.</w:t>
        <w:t xml:space="preserve"> </w:t>
      </w:r>
      <w:r>
        <w:t xml:space="preserve"> </w:t>
      </w:r>
      <w:r>
        <w:t xml:space="preserve">All applications for a permit to carry concealed handguns and documents made a part of the application, refusals and any information of record collected by the issuing authority during the process of ascertaining whether an applicant is of good moral character and meets the additional requirements of </w:t>
      </w:r>
      <w:r>
        <w:t>sections 2003</w:t>
      </w:r>
      <w:r>
        <w:t xml:space="preserve"> and </w:t>
      </w:r>
      <w:r>
        <w:t>2005</w:t>
      </w:r>
      <w:r>
        <w:t xml:space="preserve"> are confidential and are not public records for the purposes of </w:t>
      </w:r>
      <w:r>
        <w:t>Title 1, chapter 13, subchapter 1</w:t>
      </w:r>
      <w:r>
        <w:t xml:space="preserve">. The applicant may waive this confidentiality by written notice to the issuing authority. All proceedings relating to the issuance, refusal, suspension or revocation of a permit to carry concealed handguns are not public proceedings under </w:t>
      </w:r>
      <w:r>
        <w:t>Title 1, chapter 13</w:t>
      </w:r>
      <w:r>
        <w:t xml:space="preserve">, unless otherwise requested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w:pPr>
        <w:jc w:val="both"/>
        <w:spacing w:before="100" w:after="100"/>
        <w:ind w:start="360"/>
        <w:ind w:firstLine="360"/>
      </w:pPr>
      <w:r>
        <w:rPr>
          <w:b/>
        </w:rPr>
        <w:t>2</w:t>
        <w:t xml:space="preserve">.  </w:t>
      </w:r>
      <w:r>
        <w:rPr>
          <w:b/>
        </w:rPr>
        <w:t xml:space="preserve">Permanent record of permit.</w:t>
        <w:t xml:space="preserve"> </w:t>
      </w:r>
      <w:r>
        <w:t xml:space="preserve"> </w:t>
      </w:r>
      <w:r>
        <w:t xml:space="preserve">The issuing authority shall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w:t>
      </w:r>
    </w:p>
    <w:p>
      <w:pPr>
        <w:jc w:val="both"/>
        <w:spacing w:before="100" w:after="0"/>
        <w:ind w:start="720"/>
      </w:pPr>
      <w:r>
        <w:rPr/>
        <w:t>A</w:t>
        <w:t xml:space="preserve">.  </w:t>
      </w:r>
      <w:r>
        <w:rPr/>
      </w:r>
      <w:r>
        <w:t xml:space="preserve">The municipality of residence;</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B</w:t>
        <w:t xml:space="preserve">.  </w:t>
      </w:r>
      <w:r>
        <w:rPr/>
      </w:r>
      <w:r>
        <w:t xml:space="preserve">The date the permit was issued; and</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C</w:t>
        <w:t xml:space="preserve">.  </w:t>
      </w:r>
      <w:r>
        <w:rPr/>
      </w:r>
      <w:r>
        <w:t xml:space="preserve">The date the permit expires.</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360"/>
      </w:pPr>
      <w:r>
        <w:rPr/>
      </w:r>
      <w:r>
        <w:rPr/>
      </w:r>
      <w:r>
        <w:t xml:space="preserve">This subsection does not limit disclosure of confidential information for criminal justice purposes or permitting purposes to law enforcement officers and issuing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RR 1999, c. 2, §28 (COR). PL 2011, c. 298, §11 (AMD). PL 2011, c. 662, §15 (AMD). PL 2013, c. 54,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252. PERMITS TO CARRY CONCEALED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 PERMITS TO CARRY CONCEALED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252. PERMITS TO CARRY CONCEALED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