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PROVISIONS CONCERNING COMPACT</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63.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