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Revocation; change of residence</w:t>
      </w:r>
    </w:p>
    <w:p>
      <w:pPr>
        <w:jc w:val="both"/>
        <w:spacing w:before="100" w:after="100"/>
        <w:ind w:start="360"/>
        <w:ind w:firstLine="360"/>
      </w:pPr>
      <w:r>
        <w:rPr>
          <w:b/>
        </w:rPr>
        <w:t>1</w:t>
        <w:t xml:space="preserve">.  </w:t>
      </w:r>
      <w:r>
        <w:rPr>
          <w:b/>
        </w:rPr>
        <w:t xml:space="preserve">Revocation.</w:t>
        <w:t xml:space="preserve"> </w:t>
      </w:r>
      <w:r>
        <w:t xml:space="preserve"> </w:t>
      </w:r>
      <w:r>
        <w:t xml:space="preserve">The issuing authority shall revoke a permit on the basis of one or more of the following determinations:</w:t>
      </w:r>
    </w:p>
    <w:p>
      <w:pPr>
        <w:jc w:val="both"/>
        <w:spacing w:before="100" w:after="0"/>
        <w:ind w:start="720"/>
      </w:pPr>
      <w:r>
        <w:rPr/>
        <w:t>A</w:t>
        <w:t xml:space="preserve">.  </w:t>
      </w:r>
      <w:r>
        <w:rPr/>
      </w:r>
      <w:r>
        <w:t xml:space="preserve">The application or any documents made part of the application contained a material misstatement;</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The permit holder has been convicted of a violation of </w:t>
      </w:r>
      <w:r>
        <w:t>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§4 (AMD); PL 2003, c. 452, Pt. X, §2 (AFF).]</w:t>
      </w:r>
    </w:p>
    <w:p>
      <w:pPr>
        <w:jc w:val="both"/>
        <w:spacing w:before="100" w:after="0"/>
        <w:ind w:start="720"/>
      </w:pPr>
      <w:r>
        <w:rPr/>
        <w:t>C</w:t>
        <w:t xml:space="preserve">.  </w:t>
      </w:r>
      <w:r>
        <w:rPr/>
      </w:r>
      <w:r>
        <w:t xml:space="preserve">The permit holder becomes ineligible to possess a permit under this chapter.  Ineligibility is determined on the basis of the criteria contained in </w:t>
      </w:r>
      <w:r>
        <w:t>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(AMD).]</w:t>
      </w:r>
    </w:p>
    <w:p>
      <w:pPr>
        <w:jc w:val="both"/>
        <w:spacing w:before="100" w:after="0"/>
        <w:ind w:start="720"/>
      </w:pPr>
      <w:r>
        <w:rPr/>
        <w:t>D</w:t>
        <w:t xml:space="preserve">.  </w:t>
      </w:r>
      <w:r>
        <w:rPr/>
      </w:r>
      <w:r>
        <w:t xml:space="preserve">For conduct that occurred after a permit was issued, that the permit holder was convicted of operating a motor vehicle, snowmobile, ATV or watercraft while under the influence of intoxicating liquor or drugs or with an excessive alcohol level and, by a preponderance of the evidence, that at the time of the offense the permit holder was in possession of a loaded firearm; or</w:t>
      </w:r>
      <w:r>
        <w:t xml:space="preserve">  </w:t>
      </w:r>
      <w:r xmlns:wp="http://schemas.openxmlformats.org/drawingml/2010/wordprocessingDrawing" xmlns:w15="http://schemas.microsoft.com/office/word/2012/wordml">
        <w:rPr>
          <w:rFonts w:ascii="Arial" w:hAnsi="Arial" w:cs="Arial"/>
          <w:sz w:val="22"/>
          <w:szCs w:val="22"/>
        </w:rPr>
        <w:t xml:space="preserve">[PL 2009, c. 447, §25 (AMD).]</w:t>
      </w:r>
    </w:p>
    <w:p>
      <w:pPr>
        <w:jc w:val="both"/>
        <w:spacing w:before="100" w:after="0"/>
        <w:ind w:start="720"/>
      </w:pPr>
      <w:r>
        <w:rPr/>
        <w:t>E</w:t>
        <w:t xml:space="preserve">.  </w:t>
      </w:r>
      <w:r>
        <w:rPr/>
      </w:r>
      <w:r>
        <w:t xml:space="preserve">For conduct that occurred after a permit was issued, that the permit holder was convicted of any violation of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§25 (AMD).]</w:t>
      </w:r>
    </w:p>
    <w:p>
      <w:pPr>
        <w:jc w:val="both"/>
        <w:spacing w:before="100" w:after="100"/>
        <w:ind w:start="360"/>
        <w:ind w:firstLine="360"/>
      </w:pPr>
      <w:r>
        <w:rPr>
          <w:b/>
        </w:rPr>
        <w:t>2</w:t>
        <w:t xml:space="preserve">.  </w:t>
      </w:r>
      <w:r>
        <w:rPr>
          <w:b/>
        </w:rPr>
        <w:t xml:space="preserve">Change of residence.</w:t>
        <w:t xml:space="preserve"> </w:t>
      </w:r>
      <w:r>
        <w:t xml:space="preserve"> </w:t>
      </w:r>
      <w:r>
        <w:t xml:space="preserve">Except as provided in </w:t>
      </w:r>
      <w:r>
        <w:t>paragraph A</w:t>
      </w:r>
      <w:r>
        <w:t xml:space="preserve">, change of legal residence from one municipality to another during the term of the permit renders the permit invalid starting 30 days after the change is made. An invalid permit is not considered revoked for the purposes of </w:t>
      </w:r>
      <w:r>
        <w:t>subsection 3</w:t>
      </w:r>
      <w:r>
        <w:t xml:space="preserve">.</w:t>
      </w:r>
    </w:p>
    <w:p>
      <w:pPr>
        <w:jc w:val="both"/>
        <w:spacing w:before="100" w:after="0"/>
        <w:ind w:start="720"/>
      </w:pPr>
      <w:r>
        <w:rPr/>
        <w:t>A</w:t>
        <w:t xml:space="preserve">.  </w:t>
      </w:r>
      <w:r>
        <w:rPr/>
      </w:r>
      <w:r>
        <w:t xml:space="preserve">If the permit holder changes the permit holder's legal residence from one municipality to another during the term of the permit, the permit remains valid if the permit holder provides the permit holder's new address to the issuing authority of the permit holder's new residence within 30 days of making that change.  The issuing authority of the new residence shall immediately reissue the permit with the corrected address for a fee of not more than $2.</w:t>
      </w:r>
      <w:r>
        <w:t xml:space="preserve">  </w:t>
      </w:r>
      <w:r xmlns:wp="http://schemas.openxmlformats.org/drawingml/2010/wordprocessingDrawing" xmlns:w15="http://schemas.microsoft.com/office/word/2012/wordml">
        <w:rPr>
          <w:rFonts w:ascii="Arial" w:hAnsi="Arial" w:cs="Arial"/>
          <w:sz w:val="22"/>
          <w:szCs w:val="22"/>
        </w:rPr>
        <w:t xml:space="preserve">[PL 2011, c. 298, §9 (AMD).]</w:t>
      </w:r>
    </w:p>
    <w:p>
      <w:pPr>
        <w:jc w:val="both"/>
        <w:spacing w:before="100" w:after="0"/>
        <w:ind w:start="720"/>
      </w:pPr>
      <w:r>
        <w:rPr/>
        <w:t>B</w:t>
        <w:t xml:space="preserve">.  </w:t>
      </w:r>
      <w:r>
        <w:rPr/>
      </w:r>
      <w:r>
        <w:t xml:space="preserve">If the issuing authority of the permit holder's new residence so requests, the previous issuing authority shall provide a photocopy of the permit holder's application, documents made a part of the application and any information of record collected by that previous issuing authority.</w:t>
      </w:r>
      <w:r>
        <w:t xml:space="preserve">  </w:t>
      </w:r>
      <w:r xmlns:wp="http://schemas.openxmlformats.org/drawingml/2010/wordprocessingDrawing" xmlns:w15="http://schemas.microsoft.com/office/word/2012/wordml">
        <w:rPr>
          <w:rFonts w:ascii="Arial" w:hAnsi="Arial" w:cs="Arial"/>
          <w:sz w:val="22"/>
          <w:szCs w:val="22"/>
        </w:rPr>
        <w:t xml:space="preserve">[PL 1989, c. 917,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§9 (AMD).]</w:t>
      </w:r>
    </w:p>
    <w:p>
      <w:pPr>
        <w:jc w:val="both"/>
        <w:spacing w:before="100" w:after="0"/>
        <w:ind w:start="360"/>
        <w:ind w:firstLine="360"/>
      </w:pPr>
      <w:r>
        <w:rPr>
          <w:b/>
        </w:rPr>
        <w:t>3</w:t>
        <w:t xml:space="preserve">.  </w:t>
      </w:r>
      <w:r>
        <w:rPr>
          <w:b/>
        </w:rPr>
        <w:t xml:space="preserve">Reapplication.</w:t>
        <w:t xml:space="preserve"> </w:t>
      </w:r>
      <w:r>
        <w:t xml:space="preserve"> </w:t>
      </w:r>
      <w:r>
        <w:t xml:space="preserve">If a permit has been revoked solely under </w:t>
      </w:r>
      <w:r>
        <w:t>subsection 1, paragraph D</w:t>
      </w:r>
      <w:r>
        <w:t xml:space="preserve">, the former permit holder may reapply upon successful completion of a substance use disorder treatment program approved by the Department of Health and Human Services as appropriate for the permit holder's problem or condition.  Except as specified in this subsection, a person, otherwise eligible, who has had a permit revoked, is not eligible for reapplication until the expiration of 5 years from the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§§13-15 (AMD). PL 2003, c. 452, §N4 (AMD). PL 2003, c. 452, §X2 (AFF). PL 2003, c. 689, §B6 (REV). PL 2009, c. 447, §25 (AMD). PL 2011, c. 298, §9 (AMD). PL 2017, c. 407, Pt. A,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§2005. Revocation; change of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Revocation; change of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§2005. REVOCATION; CHANGE OF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