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Government firearms or firearms owners registry prohibited</w:t>
      </w:r>
    </w:p>
    <w:p>
      <w:pPr>
        <w:jc w:val="both"/>
        <w:spacing w:before="100" w:after="100"/>
        <w:ind w:start="360"/>
        <w:ind w:firstLine="360"/>
      </w:pPr>
      <w:r>
        <w:rPr/>
      </w:r>
      <w:r>
        <w:rPr/>
      </w:r>
      <w:r>
        <w:t xml:space="preserve">Notwithstanding any other provision of law to the contrary, a government agency of this State or a political subdivision of this State may not keep or cause to be kept a comprehensive registry of privately owned firearms and the owners of those firearms within its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§2014. Government firearms or firearms owners registry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Government firearms or firearms owners registry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§2014. GOVERNMENT FIREARMS OR FIREARMS OWNERS REGISTRY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