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2106-A</w:t>
        <w:t xml:space="preserve">.  </w:t>
      </w:r>
      <w:r>
        <w:rPr>
          <w:b/>
        </w:rPr>
        <w:t xml:space="preserve">Penalties</w:t>
      </w:r>
    </w:p>
    <w:p>
      <w:pPr>
        <w:jc w:val="both"/>
        <w:spacing w:before="100" w:after="100"/>
        <w:ind w:start="360"/>
        <w:ind w:firstLine="360"/>
      </w:pPr>
      <w:r>
        <w:rPr/>
      </w:r>
      <w:r>
        <w:rPr/>
      </w:r>
      <w:r>
        <w:t xml:space="preserve">A person who violates this chapter or a rule adopted pursuant to this chapter commits a Class D crime, except that if the violation is discovered during a routine compliance review as defined in 49 Code of Federal Regulations, Part 385.3, the violation is a civil violation.</w:t>
      </w:r>
      <w:r>
        <w:t xml:space="preserve">  </w:t>
      </w:r>
      <w:r xmlns:wp="http://schemas.openxmlformats.org/drawingml/2010/wordprocessingDrawing" xmlns:w15="http://schemas.microsoft.com/office/word/2012/wordml">
        <w:rPr>
          <w:rFonts w:ascii="Arial" w:hAnsi="Arial" w:cs="Arial"/>
          <w:sz w:val="22"/>
          <w:szCs w:val="22"/>
        </w:rPr>
        <w:t xml:space="preserve">[PL 2013, c. 112, §1 (NEW).]</w:t>
      </w:r>
    </w:p>
    <w:p>
      <w:pPr>
        <w:jc w:val="both"/>
        <w:spacing w:before="100" w:after="100"/>
        <w:ind w:start="360"/>
        <w:ind w:firstLine="360"/>
      </w:pPr>
      <w:r>
        <w:rPr/>
      </w:r>
      <w:r>
        <w:rPr/>
      </w:r>
      <w:r>
        <w:t xml:space="preserve">A civil violation under this section is subject to a fine, which must be determined with due consideration of the Federal Motor Carrier Safety Administration's uniform fine assessment program.</w:t>
      </w:r>
      <w:r>
        <w:t xml:space="preserve">  </w:t>
      </w:r>
      <w:r xmlns:wp="http://schemas.openxmlformats.org/drawingml/2010/wordprocessingDrawing" xmlns:w15="http://schemas.microsoft.com/office/word/2012/wordml">
        <w:rPr>
          <w:rFonts w:ascii="Arial" w:hAnsi="Arial" w:cs="Arial"/>
          <w:sz w:val="22"/>
          <w:szCs w:val="22"/>
        </w:rPr>
        <w:t xml:space="preserve">[PL 2013, c. 112,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§10 (NEW). PL 1983, c. 862, §73 (AMD). PL 2013, c. 112,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§2106-A.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§2106-A.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§2106-A.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