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the Maine School for Marine Science, Technology, Transportation and Engineering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2015, c. 363,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subsection 2.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§2463-A. INSTALLATION OF SPRINKLER SYSTEMS IN DORMITORIES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