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2803-D</w:t>
        <w:t xml:space="preserve">.  </w:t>
      </w:r>
      <w:r>
        <w:rPr>
          <w:b/>
        </w:rPr>
        <w:t xml:space="preserve">Certificate admissible</w:t>
      </w:r>
    </w:p>
    <w:p>
      <w:pPr>
        <w:jc w:val="both"/>
        <w:spacing w:before="100" w:after="100"/>
        <w:ind w:start="360"/>
        <w:ind w:firstLine="360"/>
      </w:pPr>
      <w:r>
        <w:rPr/>
      </w:r>
      <w:r>
        <w:rPr/>
      </w:r>
      <w:r>
        <w:t xml:space="preserve">Notwithstanding any other law or rule of evidence, a certificate issued by the custodian of the records of the board, when signed and sworn to by that custodian, or the custodian's designee, is admissible in a judicial or administrative proceeding as prima facie evidence of any fact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2013, c. 147,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§2803-D. Certificate admissible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§2803-D. Certificate admissible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§2803-D. CERTIFICATE ADMISSIBLE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