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Security at capitol area and other state-controlled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Security at capitol area and other state-controlled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§2904. SECURITY AT CAPITOL AREA AND OTHER STATE-CONTROLLED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