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§2916. FLAGS FOR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