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§2933. Local exchange carrier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Local exchange carrier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§2933. LOCAL EXCHANGE CARRIER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