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4202</w:t>
        <w:t xml:space="preserve">.  </w:t>
      </w:r>
      <w:r>
        <w:rPr>
          <w:b/>
        </w:rPr>
        <w:t xml:space="preserve">Critical incident stress management teams</w:t>
      </w:r>
    </w:p>
    <w:p>
      <w:pPr>
        <w:jc w:val="both"/>
        <w:spacing w:before="100" w:after="0"/>
        <w:ind w:start="360"/>
        <w:ind w:firstLine="360"/>
      </w:pPr>
      <w:r>
        <w:rPr>
          <w:b/>
        </w:rPr>
        <w:t>1</w:t>
        <w:t xml:space="preserve">.  </w:t>
      </w:r>
      <w:r>
        <w:rPr>
          <w:b/>
        </w:rPr>
        <w:t xml:space="preserve">Information confidential.</w:t>
        <w:t xml:space="preserve"> </w:t>
      </w:r>
      <w:r>
        <w:t xml:space="preserve"> </w:t>
      </w:r>
      <w:r>
        <w:t xml:space="preserve">Except as provided in </w:t>
      </w:r>
      <w:r>
        <w:t>subsection 2</w:t>
      </w:r>
      <w:r>
        <w:t xml:space="preserve">, all proceedings, communications and records, including, but not limited to, information concerning the identity of a person seeking or being furnished assistance, connected in any way with the work of a critical incident stress management team, including critical incident stress management peer support persons, are confidential and are not subject to compulsory legal process or otherwise discoverable or admissible in evidence in any civil action unless the confidentiality is waived by the affected person.  Statistical data not identifying a person seeking the assistance of a critical incident stress management team must be made available for statistical evaluation and may not be made available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89, §6 (AMD).]</w:t>
      </w:r>
    </w:p>
    <w:p>
      <w:pPr>
        <w:jc w:val="both"/>
        <w:spacing w:before="100" w:after="100"/>
        <w:ind w:start="360"/>
        <w:ind w:firstLine="360"/>
      </w:pPr>
      <w:r>
        <w:rPr>
          <w:b/>
        </w:rPr>
        <w:t>2</w:t>
        <w:t xml:space="preserve">.  </w:t>
      </w:r>
      <w:r>
        <w:rPr>
          <w:b/>
        </w:rPr>
        <w:t xml:space="preserve">Mandatory disclosure of information.</w:t>
        <w:t xml:space="preserve"> </w:t>
      </w:r>
      <w:r>
        <w:t xml:space="preserve"> </w:t>
      </w:r>
      <w:r>
        <w:t xml:space="preserve">Unless protected by a privilege of law recognized by this State, a member of a critical incident stress management team must disclose to appropriate federal, state or local government agencies or law enforcement agencies the following types of information:</w:t>
      </w:r>
    </w:p>
    <w:p>
      <w:pPr>
        <w:jc w:val="both"/>
        <w:spacing w:before="100" w:after="0"/>
        <w:ind w:start="720"/>
      </w:pPr>
      <w:r>
        <w:rPr/>
        <w:t>A</w:t>
        <w:t xml:space="preserve">.  </w:t>
      </w:r>
      <w:r>
        <w:rPr/>
      </w:r>
      <w:r>
        <w:t xml:space="preserve">An admission by a person seeking the assistance of the critical incident stress management team that the person has committed a crime;</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720"/>
      </w:pPr>
      <w:r>
        <w:rPr/>
        <w:t>B</w:t>
        <w:t xml:space="preserve">.  </w:t>
      </w:r>
      <w:r>
        <w:rPr/>
      </w:r>
      <w:r>
        <w:t xml:space="preserve">A disclosure of information by a person seeking the assistance of a critical incident stress management team that must be reported pursuant to any applicable law; or</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720"/>
      </w:pPr>
      <w:r>
        <w:rPr/>
        <w:t>C</w:t>
        <w:t xml:space="preserve">.  </w:t>
      </w:r>
      <w:r>
        <w:rPr/>
      </w:r>
      <w:r>
        <w:t xml:space="preserve">A disclosure of information by a person seeking the assistance of a critical incident stress management team that would lead one to reasonably think that the person seeking assistance is a danger to that person or to another person.</w:t>
      </w:r>
      <w:r>
        <w:t xml:space="preserve">  </w:t>
      </w:r>
      <w:r xmlns:wp="http://schemas.openxmlformats.org/drawingml/2010/wordprocessingDrawing" xmlns:w15="http://schemas.microsoft.com/office/word/2012/wordml">
        <w:rPr>
          <w:rFonts w:ascii="Arial" w:hAnsi="Arial" w:cs="Arial"/>
          <w:sz w:val="22"/>
          <w:szCs w:val="22"/>
        </w:rPr>
        <w:t xml:space="preserve">[PL 2009, c. 289, §1 (NEW).]</w:t>
      </w:r>
    </w:p>
    <w:p>
      <w:pPr>
        <w:jc w:val="both"/>
        <w:spacing w:before="100" w:after="0"/>
        <w:ind w:start="360"/>
      </w:pPr>
      <w:r>
        <w:rPr/>
      </w:r>
      <w:r>
        <w:rPr/>
      </w:r>
      <w:r>
        <w:t xml:space="preserve">Information disclosed under this subsection is no longer confidential unless it is otherwise designated confidential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289, §1 (NEW). PL 2019, c. 89,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§4202. Critical incident stress management teams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§4202. Critical incident stress management teams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§4202. CRITICAL INCIDENT STRESS MANAGEMENT TEAMS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