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except that, if the first quarter of the last 5 completed calendar quarters was included in the base period applicable to an individual's previous benefit year, that individual's base period is the last 4 completed calendar quarters.  In the case of a combined-wage claim pursuant to the arrangement approved by the secretary in accordance with section 1082, subsection 12, the base period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§72 (COR).]</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that individual's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§73 (COR).]</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the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§74 (COR).]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§74 (COR).]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 individual or type of organization, including a partnership, association, trust, estate, joint stock company, insurance company or corporation, whether domestic or foreign, or the receiver, trustee in bankruptcy, trustee or successor thereof, or the legal representative of a deceased person, that has or subsequent to January 1, 1935 had in its employ one or more individuals performing services for it within this State. On and after January 1, 1978, "employing unit" includes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 employing unit that maintains 2 or more separate establishments within this State are deemed to be employed by a single employing unit for all the purposes of this chapter. Whenever an employing unit contracts with or has under it a contractor or subcontractor for work that is part of its usual trade, occupation, profession or business, unless the employing unit as well as each such contractor or subcontractor is an employer by reason of subsection 9 or section 1222, subsection 3, the employing unit for all the purposes of this chapter is deemed to employ each individual in the employ of each such contractor or subcontractor for each day during which that individual is engaged in performing such work; except that each such contractor or subcontractor who is an employer by reason of subsection 9 or section 1222, subsection 3 is alone liable for the employer's contributions measured by wages to individuals in the employer's employ and except that an employing unit who becomes liable for and pays contributions with respect to individuals in the employ of any such contractor or subcontractor who is not an employer by reason of subsection 9 or section 1222, subsection 3 may recover the same from the contractor or subcontractor. Each individual employed to perform or to assist in performing the work of an agent or employee of an employing unit is deemed to be employed by the employing unit for all the purposes of this chapter, whether the individual was hired or paid directly by the employing unit or by the agent or employee, as long as the employing unit had actual or constructive knowledge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§75 (COR).]</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that individual constitute employment, all the services of that individual for that period are deemed to be employment; but if the services performed during more than 1/2 of any pay period by an individual for the person employing that individual do not constitute employment, then none of the services of that individual for that period are deemed to be employment. As used in this paragraph, the term "pay period" means a period of not more than 31 consecutive days for which a payment of remuneration is ordinarily made to an individual by the person employing that individual. This paragraph is not applicable with respect to services performed in a pay period by an individual for the person employing that individual when any of such service is excepted by paragraph F,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The other person must be treated as having paid wages to the individual in an amount equal to the amount of wages paid to the individual by the crew leader, either on the crew leader's own behalf or on behalf of the other person for the service in agricultural labor performed for the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the crew leader's own behalf or on behalf of the other person the individuals so furnished by the crew leader for the service in agricultural labor performed by the individuals; and</w:t>
      </w:r>
    </w:p>
    <w:p>
      <w:pPr>
        <w:jc w:val="both"/>
        <w:spacing w:before="100" w:after="0"/>
        <w:ind w:start="1800"/>
      </w:pPr>
      <w:r>
        <w:rPr/>
        <w:t>(</w:t>
        <w:t>iii</w:t>
        <w:t xml:space="preserve">)  </w:t>
      </w:r>
      <w:r>
        <w:rPr/>
      </w:r>
      <w:r>
        <w:t xml:space="preserve">Has not entered into a written agreement with the other person under which the crew leader is designated as an employee of the other person.</w:t>
      </w:r>
      <w:r>
        <w:t xml:space="preserve">  </w:t>
      </w:r>
      <w:r xmlns:wp="http://schemas.openxmlformats.org/drawingml/2010/wordprocessingDrawing" xmlns:w15="http://schemas.microsoft.com/office/word/2012/wordml">
        <w:rPr>
          <w:rFonts w:ascii="Arial" w:hAnsi="Arial" w:cs="Arial"/>
          <w:sz w:val="22"/>
          <w:szCs w:val="22"/>
        </w:rPr>
        <w:t xml:space="preserve">[RR 2023, c. 2, Pt. E, §§77, 78 (COR).]</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child or spouse and service performed by a child under 18 years of age in the employ of that child's parent, except for periods of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E, §79 (COR).]</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§§76-79 (COR).]</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RR 2023, c. 2, Pt. E, §§72-79 (COR).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that individual's rights to benefits or any other rights under this chapter is void. Any agreement by an individual in the employ of any person or concern to pay all or any portion of an employer's contributions, required under this chapter from that employer, is void. An employer may not directly or indirectly make or require or accept any deduction from wages to finance the employer's contributions required from the employer, or require or accept any waiver of any right hereunder by an individual in the employer's employ.</w:t>
      </w:r>
    </w:p>
    <w:p>
      <w:pPr>
        <w:jc w:val="both"/>
        <w:spacing w:before="100" w:after="0"/>
        <w:ind w:start="360"/>
      </w:pPr>
      <w:r>
        <w:rPr/>
      </w:r>
      <w:r>
        <w:rPr/>
      </w:r>
      <w:r>
        <w:t xml:space="preserve">An employer or officer or agent of an employer who violates any provision of this subsection is, for each offense,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§80 (COR).]</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the court results in a reversal, in whole or in part, of the decision appealed from, the fees for the service must be paid by the commissioner from the commissioner's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§81 (COR).]</w:t>
      </w:r>
    </w:p>
    <w:p>
      <w:pPr>
        <w:jc w:val="both"/>
        <w:spacing w:before="100" w:after="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that are or may become due or payable under this chapter is void. Such rights to benefits are exempt from levy, execution, attachment or any other remedy provided for the collection of debt. Benefits received by an individual, as long as they are not mingled with other funds of the recipient, are exempt from any remedy for the collection of all debts except debts incurred for necessaries furnished to the individual or the individual's spouse or dependents during the time when the individual was unemployed. A waiver of any exemption provided for in this subsection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RR 2023, c. 2, Pt. E, §§80-82 (COR).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the individual resides, including any older individual who may have substantial barriers to employment because of the individual's age.</w:t>
      </w:r>
      <w:r>
        <w:t xml:space="preserve">  </w:t>
      </w:r>
      <w:r xmlns:wp="http://schemas.openxmlformats.org/drawingml/2010/wordprocessingDrawing" xmlns:w15="http://schemas.microsoft.com/office/word/2012/wordml">
        <w:rPr>
          <w:rFonts w:ascii="Arial" w:hAnsi="Arial" w:cs="Arial"/>
          <w:sz w:val="22"/>
          <w:szCs w:val="22"/>
        </w:rPr>
        <w:t xml:space="preserve">[RR 2023, c. 2, Pt. E, §106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§106 (COR).]</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RR 2023, c. 2, Pt. E, §106 (COR).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the commissioner's own motion terminate coverage of an employer, who became an employer under section 1043, subsection 9, paragraph H, when the commissioner finds that there were no 20 different days, each day being in a different week within the preceding calendar year, within which the employing unit employed 4 or more individuals in employment subject to this chapter; and the commissioner may upon the commissioner's own motion terminate the coverage of an employing unit that had become an employer by virtue of subsection 3,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§114 (COR).]</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the commissioner's own motion terminate coverage of an employer when the commissioner finds that there were no 20 different weeks within the preceding calendar year within which the employing unit employed one or more individuals in employment subject to this chapter and did not pay wages of $1,500 in any calendar quarters; and the commissioner may upon the commissioner's own motion terminate the coverage of an employing unit that had become an employer by virtue of subsection 3, paragraphs A and B,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§115 (COR).]</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§§114, 115 (COR).]</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RR 2023, c. 2, Pt. E, §§114, 115 (COR).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section 1225, the commissioner may file in the registry of deeds of any county a certificate under the commissioner's official seal, stating the name of the employer; the employer's address; the amount of the contributions and interest or penalties assessed and in default; and that the time in which an appeal is permitted pursuant to section 1226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taxes, and the priority of the lien is governed by the laws of this State. The liens are subordinate to any real estate mortgage previously recorded as required by law. A lien for contributions or interest is not valid against a person who purchases personal property from the employer in the usual course of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that may have become due or may have accrued under this chapter and costs of court, if any.</w:t>
      </w:r>
    </w:p>
    <w:p>
      <w:pPr>
        <w:jc w:val="both"/>
        <w:spacing w:before="100" w:after="0"/>
        <w:ind w:start="360"/>
      </w:pPr>
      <w:r>
        <w:rPr/>
      </w:r>
      <w:r>
        <w:rPr/>
      </w:r>
      <w:r>
        <w:t xml:space="preserve">The foregoing remedies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§116 (COR).]</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RR 2023, c. 2, Pt. E, §116 (COR).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13.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