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DISPLACED HOMEMAKERS ACT</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DISPLACED HOMEMAKERS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DISPLACED HOMEMAKERS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21. DISPLACED HOMEMAKERS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