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shall be given an opportunity to accompany the director or his authorized agent during the physical inspection of the workplace of any employer, subject to this section, for the purpose of aiding such inspection. Where there is no authorized employee representative, the director or his authorized agent shall consult with a reasonable number of employees concerning matters of safety in the workplace. The employee representative shall not lose any privilege or compensation during or because of his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[PL 1975, c. 519,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Whoever, being duly summoned under </w:t>
      </w:r>
      <w:r>
        <w:t>section 43</w:t>
      </w:r>
      <w:r>
        <w:t xml:space="preserve">, willfully neglects or refuses to attend, or refuses to answer any question propounded to him concerning the subject of such examination as provided in said </w:t>
      </w:r>
      <w:r>
        <w:t>section 43</w:t>
      </w:r>
      <w:r>
        <w:t xml:space="preserve">, or whoever, being furnished by the director with a written or printed list of interrogatories, neglects or refuses to answer and return the same under oath, shall be punished by a fine of not less than $25 nor more than $100, or by imprisonment for not more than 30 days, or by both. No witness shall be compelled to go outside the county in which he resides to testify.</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his request, such statistical or other information contemplated by </w:t>
      </w:r>
      <w:r>
        <w:t>sections 42</w:t>
      </w:r>
      <w:r>
        <w:t xml:space="preserve"> to </w:t>
      </w:r>
      <w:r>
        <w:t>45</w:t>
      </w:r>
      <w:r>
        <w:t xml:space="preserve"> as shall be in their possession as such officers.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shall be available to the injured employee, his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[PL 1981, c. 168,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Any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his authorized agent of such violation or danger. Except in cases of imminent danger, any such notice shall be in writing, shall set forth with reasonable particularity the grounds for the notice, shall be signed by the employee or his representative and a copy shall be provided the employer or his agent no later than the time of the inspection, except that, upon the request of the person giving such notice, his name and the names of individual employees referred to therein shall not appear in such copy or upon any record published, released or made available in any other respect. If upon the receipt of such notification, the director or his authorized agent determines that there are reasonable grounds to believe that such violation or danger exists, he shall make a special inspection as soon as practicable to determine if such violation or danger exists. If the director or his authorized agent determines that there are no reasonable grounds to believe that a violation or danger exists, he shall notify the employee or representative of the employee in writing of such determination.</w:t>
      </w:r>
      <w:r>
        <w:t xml:space="preserve">  </w:t>
      </w:r>
      <w:r xmlns:wp="http://schemas.openxmlformats.org/drawingml/2010/wordprocessingDrawing" xmlns:w15="http://schemas.microsoft.com/office/word/2012/wordml">
        <w:rPr>
          <w:rFonts w:ascii="Arial" w:hAnsi="Arial" w:cs="Arial"/>
          <w:sz w:val="22"/>
          <w:szCs w:val="22"/>
        </w:rPr>
        <w:t xml:space="preserve">[PL 1975, c. 519,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I</w:t>
      </w:r>
      <w:r>
        <w:t xml:space="preserve"> to </w:t>
      </w:r>
      <w:r>
        <w:t>IV</w:t>
      </w:r>
      <w:r>
        <w:t xml:space="preserve">, the director may assess a forfeiture against any employer, officer, agent or other person who violates any provision of </w:t>
      </w:r>
      <w:r>
        <w:t>chapter 7, subchapters I</w:t>
      </w:r>
      <w:r>
        <w:t xml:space="preserve"> to </w:t>
      </w:r>
      <w:r>
        <w:t>IV</w:t>
      </w:r>
      <w:r>
        <w:t xml:space="preserve"> for each violation of those subchapters.  The forfeiture may not exceed $1,000 or the amount provided in law or rule as a penalty for the specific violation, whichever is less.  The Attorney General, upon complaint of the director, shall institute a civil action to recover the forfeiture.  Any amount recovered must be deposited with the Treasurer of State.  The director shall adopt rules to govern the administration of the civil money forfeiture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BUREAU OF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 BUREAU OF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