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of Labor is authorized to appoint and prescribe the duties and powers of, and fix the compensation of, such officers, accountants, attorneys, experts and other persons as may be necessary in the performance of his duties, subject to the Civil Service Law. The commissioner may delegate to any such person so appointed such power and authority as is reasonable and proper for the effective administration of this chapter, and may in his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w:t>
      </w:r>
      <w:r>
        <w:t>Title 5, section 196</w:t>
      </w:r>
      <w:r>
        <w:t xml:space="preserve">, whose service and expenses shall be paid from the funds provided for the administration of this chapter. The commissioner shall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§120 (AMD).]</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